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7470" w14:textId="6655B5A0" w:rsidR="00060804" w:rsidRDefault="00ED5A1A" w:rsidP="00060804">
      <w:pPr>
        <w:widowControl w:val="0"/>
        <w:tabs>
          <w:tab w:val="left" w:pos="1132"/>
        </w:tabs>
        <w:autoSpaceDE w:val="0"/>
        <w:autoSpaceDN w:val="0"/>
        <w:adjustRightInd w:val="0"/>
        <w:spacing w:after="0" w:line="240" w:lineRule="auto"/>
        <w:ind w:left="1132" w:right="1132"/>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Northcross Capital LLP</w:t>
      </w:r>
    </w:p>
    <w:p w14:paraId="51E5CEC5" w14:textId="77777777" w:rsidR="00060804" w:rsidRDefault="00060804" w:rsidP="00060804">
      <w:pPr>
        <w:widowControl w:val="0"/>
        <w:tabs>
          <w:tab w:val="left" w:pos="1132"/>
        </w:tabs>
        <w:autoSpaceDE w:val="0"/>
        <w:autoSpaceDN w:val="0"/>
        <w:adjustRightInd w:val="0"/>
        <w:spacing w:after="0" w:line="240" w:lineRule="auto"/>
        <w:ind w:left="1132" w:right="1132"/>
        <w:jc w:val="center"/>
        <w:rPr>
          <w:rFonts w:eastAsia="Times New Roman" w:cstheme="minorHAnsi"/>
          <w:b/>
          <w:bCs/>
          <w:color w:val="000000"/>
          <w:sz w:val="20"/>
          <w:szCs w:val="20"/>
          <w:lang w:eastAsia="en-GB"/>
        </w:rPr>
      </w:pPr>
      <w:r w:rsidRPr="00D65824">
        <w:rPr>
          <w:rFonts w:eastAsia="Times New Roman" w:cstheme="minorHAnsi"/>
          <w:b/>
          <w:bCs/>
          <w:color w:val="000000"/>
          <w:sz w:val="20"/>
          <w:szCs w:val="20"/>
          <w:lang w:eastAsia="en-GB"/>
        </w:rPr>
        <w:t>MIFIDPRU</w:t>
      </w:r>
      <w:r>
        <w:rPr>
          <w:rFonts w:eastAsia="Times New Roman" w:cstheme="minorHAnsi"/>
          <w:b/>
          <w:bCs/>
          <w:color w:val="000000"/>
          <w:sz w:val="20"/>
          <w:szCs w:val="20"/>
          <w:lang w:eastAsia="en-GB"/>
        </w:rPr>
        <w:t xml:space="preserve"> 8</w:t>
      </w:r>
      <w:r w:rsidRPr="00D65824">
        <w:rPr>
          <w:rFonts w:eastAsia="Times New Roman" w:cstheme="minorHAnsi"/>
          <w:b/>
          <w:bCs/>
          <w:color w:val="000000"/>
          <w:sz w:val="20"/>
          <w:szCs w:val="20"/>
          <w:lang w:eastAsia="en-GB"/>
        </w:rPr>
        <w:t xml:space="preserve"> DISCLOSURES</w:t>
      </w:r>
    </w:p>
    <w:p w14:paraId="783A2C7C" w14:textId="06C2E18B" w:rsidR="00060804" w:rsidRDefault="00060804" w:rsidP="00060804">
      <w:pPr>
        <w:widowControl w:val="0"/>
        <w:tabs>
          <w:tab w:val="left" w:pos="1132"/>
        </w:tabs>
        <w:autoSpaceDE w:val="0"/>
        <w:autoSpaceDN w:val="0"/>
        <w:adjustRightInd w:val="0"/>
        <w:spacing w:after="0" w:line="240" w:lineRule="auto"/>
        <w:ind w:left="1132" w:right="1132"/>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For the year ended 31 </w:t>
      </w:r>
      <w:r w:rsidR="00E570F6">
        <w:rPr>
          <w:rFonts w:eastAsia="Times New Roman" w:cstheme="minorHAnsi"/>
          <w:b/>
          <w:bCs/>
          <w:color w:val="000000"/>
          <w:sz w:val="20"/>
          <w:szCs w:val="20"/>
          <w:lang w:eastAsia="en-GB"/>
        </w:rPr>
        <w:t>March</w:t>
      </w:r>
      <w:r>
        <w:rPr>
          <w:rFonts w:eastAsia="Times New Roman" w:cstheme="minorHAnsi"/>
          <w:b/>
          <w:bCs/>
          <w:color w:val="000000"/>
          <w:sz w:val="20"/>
          <w:szCs w:val="20"/>
          <w:lang w:eastAsia="en-GB"/>
        </w:rPr>
        <w:t xml:space="preserve"> 202</w:t>
      </w:r>
      <w:r w:rsidR="00E570F6">
        <w:rPr>
          <w:rFonts w:eastAsia="Times New Roman" w:cstheme="minorHAnsi"/>
          <w:b/>
          <w:bCs/>
          <w:color w:val="000000"/>
          <w:sz w:val="20"/>
          <w:szCs w:val="20"/>
          <w:lang w:eastAsia="en-GB"/>
        </w:rPr>
        <w:t>3</w:t>
      </w:r>
    </w:p>
    <w:p w14:paraId="6AC997D7" w14:textId="77777777" w:rsidR="00060804" w:rsidRPr="00D65824" w:rsidRDefault="00060804" w:rsidP="00060804">
      <w:pPr>
        <w:widowControl w:val="0"/>
        <w:tabs>
          <w:tab w:val="left" w:pos="1132"/>
        </w:tabs>
        <w:autoSpaceDE w:val="0"/>
        <w:autoSpaceDN w:val="0"/>
        <w:adjustRightInd w:val="0"/>
        <w:spacing w:after="0" w:line="240" w:lineRule="auto"/>
        <w:ind w:left="1132" w:right="1132"/>
        <w:jc w:val="center"/>
        <w:rPr>
          <w:rFonts w:eastAsia="Times New Roman" w:cstheme="minorHAnsi"/>
          <w:b/>
          <w:bCs/>
          <w:color w:val="000000"/>
          <w:sz w:val="20"/>
          <w:szCs w:val="20"/>
          <w:lang w:eastAsia="en-GB"/>
        </w:rPr>
      </w:pPr>
    </w:p>
    <w:p w14:paraId="52D30A9E" w14:textId="77777777" w:rsidR="00060804" w:rsidRPr="00D6582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b/>
          <w:bCs/>
          <w:color w:val="000000"/>
          <w:sz w:val="20"/>
          <w:szCs w:val="20"/>
          <w:lang w:eastAsia="en-GB"/>
        </w:rPr>
      </w:pPr>
      <w:r w:rsidRPr="00D65824">
        <w:rPr>
          <w:rFonts w:eastAsia="Times New Roman" w:cstheme="minorHAnsi"/>
          <w:b/>
          <w:bCs/>
          <w:color w:val="000000"/>
          <w:sz w:val="20"/>
          <w:szCs w:val="20"/>
          <w:lang w:eastAsia="en-GB"/>
        </w:rPr>
        <w:t>Introduction</w:t>
      </w:r>
    </w:p>
    <w:p w14:paraId="054B1E74" w14:textId="6073E4BD" w:rsidR="00060804" w:rsidRDefault="009C1931"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Northcross Capital LLP</w:t>
      </w:r>
      <w:r w:rsidR="00060804" w:rsidRPr="00D65824">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Northcross</w:t>
      </w:r>
      <w:r w:rsidR="00060804" w:rsidRPr="00D65824">
        <w:rPr>
          <w:rFonts w:eastAsia="Times New Roman" w:cstheme="minorHAnsi"/>
          <w:color w:val="000000"/>
          <w:sz w:val="20"/>
          <w:szCs w:val="20"/>
          <w:lang w:eastAsia="en-GB"/>
        </w:rPr>
        <w:t>" or "the Firm"), is authorised and regulated as a limited license firm by the Financial Conduct Authority ("FCA"). The Firm is categorised as an SNI MIFIDPRU Investment Firm for prudential supervision. It is an investment management firm and as such has no trading book exposures. The Firm does not hold client money.</w:t>
      </w:r>
    </w:p>
    <w:p w14:paraId="4BBF3CC0" w14:textId="77777777" w:rsidR="003642BE" w:rsidRDefault="003642BE"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12CFE2AF" w14:textId="4F5B27B4" w:rsidR="003642BE" w:rsidRPr="00D65824" w:rsidRDefault="003642BE"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Northcross has no </w:t>
      </w:r>
      <w:proofErr w:type="gramStart"/>
      <w:r>
        <w:rPr>
          <w:rFonts w:eastAsia="Times New Roman" w:cstheme="minorHAnsi"/>
          <w:color w:val="000000"/>
          <w:sz w:val="20"/>
          <w:szCs w:val="20"/>
          <w:lang w:eastAsia="en-GB"/>
        </w:rPr>
        <w:t>employees,</w:t>
      </w:r>
      <w:proofErr w:type="gramEnd"/>
      <w:r>
        <w:rPr>
          <w:rFonts w:eastAsia="Times New Roman" w:cstheme="minorHAnsi"/>
          <w:color w:val="000000"/>
          <w:sz w:val="20"/>
          <w:szCs w:val="20"/>
          <w:lang w:eastAsia="en-GB"/>
        </w:rPr>
        <w:t xml:space="preserve"> staffing is provided by employees of the service firm Northcross Management Limited. The remuneration policy and disclosure </w:t>
      </w:r>
      <w:proofErr w:type="gramStart"/>
      <w:r>
        <w:rPr>
          <w:rFonts w:eastAsia="Times New Roman" w:cstheme="minorHAnsi"/>
          <w:color w:val="000000"/>
          <w:sz w:val="20"/>
          <w:szCs w:val="20"/>
          <w:lang w:eastAsia="en-GB"/>
        </w:rPr>
        <w:t>applies</w:t>
      </w:r>
      <w:proofErr w:type="gramEnd"/>
      <w:r>
        <w:rPr>
          <w:rFonts w:eastAsia="Times New Roman" w:cstheme="minorHAnsi"/>
          <w:color w:val="000000"/>
          <w:sz w:val="20"/>
          <w:szCs w:val="20"/>
          <w:lang w:eastAsia="en-GB"/>
        </w:rPr>
        <w:t xml:space="preserve"> to both of these entities.</w:t>
      </w:r>
    </w:p>
    <w:p w14:paraId="2DDBED75" w14:textId="77777777" w:rsidR="00060804" w:rsidRPr="00D65824" w:rsidRDefault="00060804" w:rsidP="00060804">
      <w:pPr>
        <w:widowControl w:val="0"/>
        <w:tabs>
          <w:tab w:val="left" w:pos="1132"/>
        </w:tabs>
        <w:autoSpaceDE w:val="0"/>
        <w:autoSpaceDN w:val="0"/>
        <w:adjustRightInd w:val="0"/>
        <w:spacing w:after="0" w:line="240" w:lineRule="auto"/>
        <w:ind w:left="1132" w:right="1132"/>
        <w:rPr>
          <w:rFonts w:eastAsia="Times New Roman" w:cstheme="minorHAnsi"/>
          <w:color w:val="000000"/>
          <w:sz w:val="20"/>
          <w:szCs w:val="20"/>
          <w:lang w:eastAsia="en-GB"/>
        </w:rPr>
      </w:pPr>
    </w:p>
    <w:p w14:paraId="69316683" w14:textId="77777777" w:rsidR="00060804" w:rsidRPr="00D6582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b/>
          <w:bCs/>
          <w:color w:val="000000"/>
          <w:sz w:val="20"/>
          <w:szCs w:val="20"/>
          <w:lang w:eastAsia="en-GB"/>
        </w:rPr>
      </w:pPr>
      <w:r w:rsidRPr="00D65824">
        <w:rPr>
          <w:rFonts w:eastAsia="Times New Roman" w:cstheme="minorHAnsi"/>
          <w:b/>
          <w:bCs/>
          <w:color w:val="000000"/>
          <w:sz w:val="20"/>
          <w:szCs w:val="20"/>
          <w:lang w:eastAsia="en-GB"/>
        </w:rPr>
        <w:t>Scope of Application of the Requirement</w:t>
      </w:r>
    </w:p>
    <w:p w14:paraId="27369498" w14:textId="0E97427D" w:rsidR="00060804" w:rsidRPr="00D6582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D65824">
        <w:rPr>
          <w:rFonts w:eastAsia="Times New Roman" w:cstheme="minorHAnsi"/>
          <w:color w:val="000000"/>
          <w:sz w:val="20"/>
          <w:szCs w:val="20"/>
          <w:lang w:eastAsia="en-GB"/>
        </w:rPr>
        <w:t xml:space="preserve">As part of its regulatory framework </w:t>
      </w:r>
      <w:r w:rsidR="00057089">
        <w:rPr>
          <w:rFonts w:eastAsia="Times New Roman" w:cstheme="minorHAnsi"/>
          <w:color w:val="000000"/>
          <w:sz w:val="20"/>
          <w:szCs w:val="20"/>
          <w:lang w:eastAsia="en-GB"/>
        </w:rPr>
        <w:t>Northcross</w:t>
      </w:r>
      <w:r w:rsidRPr="00D65824">
        <w:rPr>
          <w:rFonts w:eastAsia="Times New Roman" w:cstheme="minorHAnsi"/>
          <w:color w:val="000000"/>
          <w:sz w:val="20"/>
          <w:szCs w:val="20"/>
          <w:lang w:eastAsia="en-GB"/>
        </w:rPr>
        <w:t xml:space="preserve"> is subject to MIFIDPRU 8 in the FCA Handbook which, among other things, requires </w:t>
      </w:r>
      <w:r w:rsidR="00057089">
        <w:rPr>
          <w:rFonts w:eastAsia="Times New Roman" w:cstheme="minorHAnsi"/>
          <w:color w:val="000000"/>
          <w:sz w:val="20"/>
          <w:szCs w:val="20"/>
          <w:lang w:eastAsia="en-GB"/>
        </w:rPr>
        <w:t>Northcross</w:t>
      </w:r>
      <w:r>
        <w:rPr>
          <w:rFonts w:eastAsia="Times New Roman" w:cstheme="minorHAnsi"/>
          <w:color w:val="000000"/>
          <w:sz w:val="20"/>
          <w:szCs w:val="20"/>
          <w:lang w:eastAsia="en-GB"/>
        </w:rPr>
        <w:t xml:space="preserve">, as </w:t>
      </w:r>
      <w:r w:rsidRPr="00D65824">
        <w:rPr>
          <w:rFonts w:eastAsia="Times New Roman" w:cstheme="minorHAnsi"/>
          <w:color w:val="000000"/>
          <w:sz w:val="20"/>
          <w:szCs w:val="20"/>
          <w:lang w:eastAsia="en-GB"/>
        </w:rPr>
        <w:t xml:space="preserve">an SNI MIFIDPRU Investment Firm </w:t>
      </w:r>
      <w:r>
        <w:rPr>
          <w:rFonts w:eastAsia="Times New Roman" w:cstheme="minorHAnsi"/>
          <w:color w:val="000000"/>
          <w:sz w:val="20"/>
          <w:szCs w:val="20"/>
          <w:lang w:eastAsia="en-GB"/>
        </w:rPr>
        <w:t xml:space="preserve">which does not have </w:t>
      </w:r>
      <w:r w:rsidRPr="00AB4B96">
        <w:rPr>
          <w:rFonts w:eastAsia="Times New Roman" w:cstheme="minorHAnsi"/>
          <w:color w:val="000000"/>
          <w:sz w:val="20"/>
          <w:szCs w:val="20"/>
          <w:lang w:eastAsia="en-GB"/>
        </w:rPr>
        <w:t>as additional tier 1 instruments in issue</w:t>
      </w:r>
      <w:r>
        <w:rPr>
          <w:rFonts w:eastAsia="Times New Roman" w:cstheme="minorHAnsi"/>
          <w:color w:val="000000"/>
          <w:sz w:val="20"/>
          <w:szCs w:val="20"/>
          <w:lang w:eastAsia="en-GB"/>
        </w:rPr>
        <w:t xml:space="preserve">, </w:t>
      </w:r>
      <w:r w:rsidRPr="00D65824">
        <w:rPr>
          <w:rFonts w:eastAsia="Times New Roman" w:cstheme="minorHAnsi"/>
          <w:color w:val="000000"/>
          <w:sz w:val="20"/>
          <w:szCs w:val="20"/>
          <w:lang w:eastAsia="en-GB"/>
        </w:rPr>
        <w:t>these public disclosures in relation the Firm’s remuneration practices.</w:t>
      </w:r>
    </w:p>
    <w:p w14:paraId="73EF5F5C" w14:textId="77777777" w:rsidR="00060804" w:rsidRPr="00E6181C"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412A4BF3" w14:textId="77777777" w:rsidR="00060804" w:rsidRPr="00E6181C"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b/>
          <w:bCs/>
          <w:color w:val="000000"/>
          <w:sz w:val="20"/>
          <w:szCs w:val="20"/>
          <w:lang w:eastAsia="en-GB"/>
        </w:rPr>
      </w:pPr>
      <w:r w:rsidRPr="00E6181C">
        <w:rPr>
          <w:rFonts w:eastAsia="Times New Roman" w:cstheme="minorHAnsi"/>
          <w:b/>
          <w:bCs/>
          <w:color w:val="000000"/>
          <w:sz w:val="20"/>
          <w:szCs w:val="20"/>
          <w:lang w:eastAsia="en-GB"/>
        </w:rPr>
        <w:t>Remuneration</w:t>
      </w:r>
    </w:p>
    <w:p w14:paraId="0EB0891D" w14:textId="77777777" w:rsidR="00060804" w:rsidRPr="00E6181C"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2588DD3A"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The Firm has adopted a remuneration policy that complies with the requirements of chapter 19G of the FCA's Senior Management Arrangements, Systems and Controls Sourcebook (SYSC), as interpreted in accordance with the FCA's guidance publication entitled "General Guidance on Proportionality</w:t>
      </w:r>
      <w:r>
        <w:rPr>
          <w:rFonts w:eastAsia="Times New Roman" w:cstheme="minorHAnsi"/>
          <w:color w:val="000000"/>
          <w:sz w:val="20"/>
          <w:szCs w:val="20"/>
          <w:lang w:eastAsia="en-GB"/>
        </w:rPr>
        <w:t>”,</w:t>
      </w:r>
      <w:r w:rsidRPr="00FA1FE0">
        <w:rPr>
          <w:rFonts w:eastAsia="Times New Roman" w:cstheme="minorHAnsi"/>
          <w:color w:val="000000"/>
          <w:sz w:val="20"/>
          <w:szCs w:val="20"/>
          <w:lang w:eastAsia="en-GB"/>
        </w:rPr>
        <w:t xml:space="preserve"> The Remuneration Code (SYSC 19G),</w:t>
      </w:r>
      <w:r w:rsidRPr="00E6181C">
        <w:rPr>
          <w:rFonts w:eastAsia="Times New Roman" w:cstheme="minorHAnsi"/>
          <w:color w:val="000000"/>
          <w:sz w:val="20"/>
          <w:szCs w:val="20"/>
          <w:lang w:eastAsia="en-GB"/>
        </w:rPr>
        <w:t xml:space="preserve"> </w:t>
      </w:r>
      <w:r w:rsidRPr="00FA1FE0">
        <w:rPr>
          <w:rFonts w:eastAsia="Times New Roman" w:cstheme="minorHAnsi"/>
          <w:color w:val="000000"/>
          <w:sz w:val="20"/>
          <w:szCs w:val="20"/>
          <w:lang w:eastAsia="en-GB"/>
        </w:rPr>
        <w:t>MIFIDPRU</w:t>
      </w:r>
      <w:r>
        <w:rPr>
          <w:rFonts w:eastAsia="Times New Roman" w:cstheme="minorHAnsi"/>
          <w:color w:val="000000"/>
          <w:sz w:val="20"/>
          <w:szCs w:val="20"/>
          <w:lang w:eastAsia="en-GB"/>
        </w:rPr>
        <w:t xml:space="preserve"> 8</w:t>
      </w:r>
      <w:r w:rsidRPr="00FA1FE0">
        <w:rPr>
          <w:rFonts w:eastAsia="Times New Roman" w:cstheme="minorHAnsi"/>
          <w:color w:val="000000"/>
          <w:sz w:val="20"/>
          <w:szCs w:val="20"/>
          <w:lang w:eastAsia="en-GB"/>
        </w:rPr>
        <w:t xml:space="preserve"> disclosures and subsequent items of guidance issued by the FCA.</w:t>
      </w:r>
    </w:p>
    <w:p w14:paraId="0E9BBCAF" w14:textId="77777777" w:rsidR="00060804" w:rsidRPr="00FA1FE0" w:rsidRDefault="00060804" w:rsidP="00060804">
      <w:pPr>
        <w:widowControl w:val="0"/>
        <w:tabs>
          <w:tab w:val="left" w:pos="1132"/>
        </w:tabs>
        <w:autoSpaceDE w:val="0"/>
        <w:autoSpaceDN w:val="0"/>
        <w:adjustRightInd w:val="0"/>
        <w:spacing w:after="0" w:line="240" w:lineRule="auto"/>
        <w:ind w:left="1132" w:right="1132"/>
        <w:rPr>
          <w:rFonts w:eastAsia="Times New Roman" w:cstheme="minorHAnsi"/>
          <w:color w:val="000000"/>
          <w:sz w:val="20"/>
          <w:szCs w:val="20"/>
          <w:lang w:eastAsia="en-GB"/>
        </w:rPr>
      </w:pPr>
    </w:p>
    <w:p w14:paraId="07A24B69"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 xml:space="preserve">As a simple </w:t>
      </w:r>
      <w:r w:rsidRPr="00D65824">
        <w:rPr>
          <w:rFonts w:eastAsia="Times New Roman" w:cstheme="minorHAnsi"/>
          <w:color w:val="000000"/>
          <w:sz w:val="20"/>
          <w:szCs w:val="20"/>
          <w:lang w:eastAsia="en-GB"/>
        </w:rPr>
        <w:t xml:space="preserve">SNI MIFIDPRU Investment Firm </w:t>
      </w:r>
      <w:r w:rsidRPr="00FA1FE0">
        <w:rPr>
          <w:rFonts w:eastAsia="Times New Roman" w:cstheme="minorHAnsi"/>
          <w:color w:val="000000"/>
          <w:sz w:val="20"/>
          <w:szCs w:val="20"/>
          <w:lang w:eastAsia="en-GB"/>
        </w:rPr>
        <w:t>the remuneration policy is prepared taking proportionality into account and the Senior Management of the Firm can confirm that this remuneration policy is a gender-neutral remuneration policy in line with the Equality Act 2010.</w:t>
      </w:r>
    </w:p>
    <w:p w14:paraId="7833B9B5"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7368484A" w14:textId="5BDE7F4A"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Th</w:t>
      </w:r>
      <w:r>
        <w:rPr>
          <w:rFonts w:eastAsia="Times New Roman" w:cstheme="minorHAnsi"/>
          <w:color w:val="000000"/>
          <w:sz w:val="20"/>
          <w:szCs w:val="20"/>
          <w:lang w:eastAsia="en-GB"/>
        </w:rPr>
        <w:t>e</w:t>
      </w:r>
      <w:r w:rsidRPr="00FA1FE0">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Firm’s </w:t>
      </w:r>
      <w:r w:rsidRPr="00FA1FE0">
        <w:rPr>
          <w:rFonts w:eastAsia="Times New Roman" w:cstheme="minorHAnsi"/>
          <w:color w:val="000000"/>
          <w:sz w:val="20"/>
          <w:szCs w:val="20"/>
          <w:lang w:eastAsia="en-GB"/>
        </w:rPr>
        <w:t>R</w:t>
      </w:r>
      <w:r>
        <w:rPr>
          <w:rFonts w:eastAsia="Times New Roman" w:cstheme="minorHAnsi"/>
          <w:color w:val="000000"/>
          <w:sz w:val="20"/>
          <w:szCs w:val="20"/>
          <w:lang w:eastAsia="en-GB"/>
        </w:rPr>
        <w:t>emuneration Policy Statement (“RPS”)</w:t>
      </w:r>
      <w:r w:rsidRPr="00FA1FE0">
        <w:rPr>
          <w:rFonts w:eastAsia="Times New Roman" w:cstheme="minorHAnsi"/>
          <w:color w:val="000000"/>
          <w:sz w:val="20"/>
          <w:szCs w:val="20"/>
          <w:lang w:eastAsia="en-GB"/>
        </w:rPr>
        <w:t xml:space="preserve"> has been carefully considered by Senior Management to ensure that the Firm’s remuneration policies and practices are in line with the business strategy, objectives, and long-term interests of the</w:t>
      </w:r>
      <w:r w:rsidR="00057089">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F</w:t>
      </w:r>
      <w:r w:rsidRPr="00FA1FE0">
        <w:rPr>
          <w:rFonts w:eastAsia="Times New Roman" w:cstheme="minorHAnsi"/>
          <w:color w:val="000000"/>
          <w:sz w:val="20"/>
          <w:szCs w:val="20"/>
          <w:lang w:eastAsia="en-GB"/>
        </w:rPr>
        <w:t>irm. The Firm’s risk appetite, culture and values have been considered as well as avoiding conflicts of interest and promoting responsible business conduct.</w:t>
      </w:r>
    </w:p>
    <w:p w14:paraId="02AA42B0"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58CCFA88"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As a</w:t>
      </w:r>
      <w:r>
        <w:rPr>
          <w:rFonts w:eastAsia="Times New Roman" w:cstheme="minorHAnsi"/>
          <w:color w:val="000000"/>
          <w:sz w:val="20"/>
          <w:szCs w:val="20"/>
          <w:lang w:eastAsia="en-GB"/>
        </w:rPr>
        <w:t>n</w:t>
      </w:r>
      <w:r w:rsidRPr="00FA1FE0">
        <w:rPr>
          <w:rFonts w:eastAsia="Times New Roman" w:cstheme="minorHAnsi"/>
          <w:color w:val="000000"/>
          <w:sz w:val="20"/>
          <w:szCs w:val="20"/>
          <w:lang w:eastAsia="en-GB"/>
        </w:rPr>
        <w:t xml:space="preserve"> </w:t>
      </w:r>
      <w:r w:rsidRPr="00D65824">
        <w:rPr>
          <w:rFonts w:eastAsia="Times New Roman" w:cstheme="minorHAnsi"/>
          <w:color w:val="000000"/>
          <w:sz w:val="20"/>
          <w:szCs w:val="20"/>
          <w:lang w:eastAsia="en-GB"/>
        </w:rPr>
        <w:t>SNI MIFIDPRU Investment Firm</w:t>
      </w:r>
      <w:r w:rsidRPr="00FA1FE0">
        <w:rPr>
          <w:rFonts w:eastAsia="Times New Roman" w:cstheme="minorHAnsi"/>
          <w:color w:val="000000"/>
          <w:sz w:val="20"/>
          <w:szCs w:val="20"/>
          <w:lang w:eastAsia="en-GB"/>
        </w:rPr>
        <w:t xml:space="preserve">, the Firm </w:t>
      </w:r>
      <w:r>
        <w:rPr>
          <w:rFonts w:eastAsia="Times New Roman" w:cstheme="minorHAnsi"/>
          <w:color w:val="000000"/>
          <w:sz w:val="20"/>
          <w:szCs w:val="20"/>
          <w:lang w:eastAsia="en-GB"/>
        </w:rPr>
        <w:t>is not required</w:t>
      </w:r>
      <w:r w:rsidRPr="00FA1FE0">
        <w:rPr>
          <w:rFonts w:eastAsia="Times New Roman" w:cstheme="minorHAnsi"/>
          <w:color w:val="000000"/>
          <w:sz w:val="20"/>
          <w:szCs w:val="20"/>
          <w:lang w:eastAsia="en-GB"/>
        </w:rPr>
        <w:t xml:space="preserve"> to have a remuneration committee. Senior Management oversees the implementation of the Firm’s policies and practices established in</w:t>
      </w:r>
      <w:r>
        <w:rPr>
          <w:rFonts w:eastAsia="Times New Roman" w:cstheme="minorHAnsi"/>
          <w:color w:val="000000"/>
          <w:sz w:val="20"/>
          <w:szCs w:val="20"/>
          <w:lang w:eastAsia="en-GB"/>
        </w:rPr>
        <w:t xml:space="preserve"> its </w:t>
      </w:r>
      <w:r w:rsidRPr="00FA1FE0">
        <w:rPr>
          <w:rFonts w:eastAsia="Times New Roman" w:cstheme="minorHAnsi"/>
          <w:color w:val="000000"/>
          <w:sz w:val="20"/>
          <w:szCs w:val="20"/>
          <w:lang w:eastAsia="en-GB"/>
        </w:rPr>
        <w:t>RPS.</w:t>
      </w:r>
    </w:p>
    <w:p w14:paraId="4AB40DC6"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788131A7"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The Firm’s senior management will as standard practice conduct a review of whether the implementation of its remuneration policies and practices compl</w:t>
      </w:r>
      <w:r>
        <w:rPr>
          <w:rFonts w:eastAsia="Times New Roman" w:cstheme="minorHAnsi"/>
          <w:color w:val="000000"/>
          <w:sz w:val="20"/>
          <w:szCs w:val="20"/>
          <w:lang w:eastAsia="en-GB"/>
        </w:rPr>
        <w:t>y</w:t>
      </w:r>
      <w:r w:rsidRPr="00FA1FE0">
        <w:rPr>
          <w:rFonts w:eastAsia="Times New Roman" w:cstheme="minorHAnsi"/>
          <w:color w:val="000000"/>
          <w:sz w:val="20"/>
          <w:szCs w:val="20"/>
          <w:lang w:eastAsia="en-GB"/>
        </w:rPr>
        <w:t xml:space="preserve"> with th</w:t>
      </w:r>
      <w:r>
        <w:rPr>
          <w:rFonts w:eastAsia="Times New Roman" w:cstheme="minorHAnsi"/>
          <w:color w:val="000000"/>
          <w:sz w:val="20"/>
          <w:szCs w:val="20"/>
          <w:lang w:eastAsia="en-GB"/>
        </w:rPr>
        <w:t>e</w:t>
      </w:r>
      <w:r w:rsidRPr="00FA1FE0">
        <w:rPr>
          <w:rFonts w:eastAsia="Times New Roman" w:cstheme="minorHAnsi"/>
          <w:color w:val="000000"/>
          <w:sz w:val="20"/>
          <w:szCs w:val="20"/>
          <w:lang w:eastAsia="en-GB"/>
        </w:rPr>
        <w:t xml:space="preserve"> RPS adopted by the Firm.</w:t>
      </w:r>
    </w:p>
    <w:p w14:paraId="0F5AD3E0"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2A7EE3C3" w14:textId="77777777" w:rsidR="00060804" w:rsidRPr="00FA1FE0"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sidRPr="00FA1FE0">
        <w:rPr>
          <w:rFonts w:eastAsia="Times New Roman" w:cstheme="minorHAnsi"/>
          <w:color w:val="000000"/>
          <w:sz w:val="20"/>
          <w:szCs w:val="20"/>
          <w:lang w:eastAsia="en-GB"/>
        </w:rPr>
        <w:t>Senior Management seek to ensure that staff engaged in control functions are independent from the business they oversee and have appropriate authorit</w:t>
      </w:r>
      <w:r>
        <w:rPr>
          <w:rFonts w:eastAsia="Times New Roman" w:cstheme="minorHAnsi"/>
          <w:color w:val="000000"/>
          <w:sz w:val="20"/>
          <w:szCs w:val="20"/>
          <w:lang w:eastAsia="en-GB"/>
        </w:rPr>
        <w:t>y</w:t>
      </w:r>
      <w:r w:rsidRPr="00FA1FE0">
        <w:rPr>
          <w:rFonts w:eastAsia="Times New Roman" w:cstheme="minorHAnsi"/>
          <w:color w:val="000000"/>
          <w:sz w:val="20"/>
          <w:szCs w:val="20"/>
          <w:lang w:eastAsia="en-GB"/>
        </w:rPr>
        <w:t xml:space="preserve"> and are remunerated in accordance with the achievement of the objectives linked to their functions, independent of the performance of the business areas they control.</w:t>
      </w:r>
    </w:p>
    <w:p w14:paraId="60F469D5" w14:textId="77777777"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1B8D00D9" w14:textId="0E792240"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Remuneration</w:t>
      </w:r>
      <w:r w:rsidR="003642BE">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as follows was awarded to all staff</w:t>
      </w:r>
      <w:r w:rsidR="003642BE">
        <w:rPr>
          <w:rFonts w:eastAsia="Times New Roman" w:cstheme="minorHAnsi"/>
          <w:color w:val="000000"/>
          <w:sz w:val="20"/>
          <w:szCs w:val="20"/>
          <w:lang w:eastAsia="en-GB"/>
        </w:rPr>
        <w:t>, of Northcross Management Limited,</w:t>
      </w:r>
      <w:r>
        <w:rPr>
          <w:rFonts w:eastAsia="Times New Roman" w:cstheme="minorHAnsi"/>
          <w:color w:val="000000"/>
          <w:sz w:val="20"/>
          <w:szCs w:val="20"/>
          <w:lang w:eastAsia="en-GB"/>
        </w:rPr>
        <w:t xml:space="preserve"> for the year ended </w:t>
      </w:r>
      <w:r w:rsidR="00E570F6" w:rsidRPr="00E570F6">
        <w:rPr>
          <w:rFonts w:eastAsia="Times New Roman" w:cstheme="minorHAnsi"/>
          <w:color w:val="000000"/>
          <w:sz w:val="20"/>
          <w:szCs w:val="20"/>
          <w:lang w:eastAsia="en-GB"/>
        </w:rPr>
        <w:t>31 March 2023</w:t>
      </w:r>
    </w:p>
    <w:p w14:paraId="0B6650F6" w14:textId="1196BC2C"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ab/>
      </w:r>
      <w:r>
        <w:rPr>
          <w:rFonts w:eastAsia="Times New Roman" w:cstheme="minorHAnsi"/>
          <w:color w:val="000000"/>
          <w:sz w:val="20"/>
          <w:szCs w:val="20"/>
          <w:lang w:eastAsia="en-GB"/>
        </w:rPr>
        <w:tab/>
      </w:r>
      <w:r>
        <w:rPr>
          <w:rFonts w:eastAsia="Times New Roman" w:cstheme="minorHAnsi"/>
          <w:color w:val="000000"/>
          <w:sz w:val="20"/>
          <w:szCs w:val="20"/>
          <w:lang w:eastAsia="en-GB"/>
        </w:rPr>
        <w:tab/>
      </w:r>
      <w:r>
        <w:rPr>
          <w:rFonts w:eastAsia="Times New Roman" w:cstheme="minorHAnsi"/>
          <w:color w:val="000000"/>
          <w:sz w:val="20"/>
          <w:szCs w:val="20"/>
          <w:lang w:eastAsia="en-GB"/>
        </w:rPr>
        <w:tab/>
      </w:r>
    </w:p>
    <w:p w14:paraId="6F3CB5D2" w14:textId="354580CD"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Fixed remuneration</w:t>
      </w:r>
      <w:r>
        <w:rPr>
          <w:rFonts w:eastAsia="Times New Roman" w:cstheme="minorHAnsi"/>
          <w:color w:val="000000"/>
          <w:sz w:val="20"/>
          <w:szCs w:val="20"/>
          <w:lang w:eastAsia="en-GB"/>
        </w:rPr>
        <w:tab/>
      </w:r>
      <w:r>
        <w:rPr>
          <w:rFonts w:eastAsia="Times New Roman" w:cstheme="minorHAnsi"/>
          <w:color w:val="000000"/>
          <w:sz w:val="20"/>
          <w:szCs w:val="20"/>
          <w:lang w:eastAsia="en-GB"/>
        </w:rPr>
        <w:tab/>
      </w:r>
      <w:r>
        <w:rPr>
          <w:rFonts w:eastAsia="Times New Roman" w:cstheme="minorHAnsi"/>
          <w:color w:val="000000"/>
          <w:sz w:val="20"/>
          <w:szCs w:val="20"/>
          <w:lang w:eastAsia="en-GB"/>
        </w:rPr>
        <w:tab/>
      </w:r>
      <w:r w:rsidR="00E570F6">
        <w:rPr>
          <w:rFonts w:eastAsia="Times New Roman" w:cstheme="minorHAnsi"/>
          <w:color w:val="000000"/>
          <w:sz w:val="20"/>
          <w:szCs w:val="20"/>
          <w:lang w:eastAsia="en-GB"/>
        </w:rPr>
        <w:t>£1,071m</w:t>
      </w:r>
      <w:r>
        <w:rPr>
          <w:rFonts w:eastAsia="Times New Roman" w:cstheme="minorHAnsi"/>
          <w:color w:val="000000"/>
          <w:sz w:val="20"/>
          <w:szCs w:val="20"/>
          <w:lang w:eastAsia="en-GB"/>
        </w:rPr>
        <w:t xml:space="preserve"> </w:t>
      </w:r>
    </w:p>
    <w:p w14:paraId="07182BEF" w14:textId="77777777"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455A2001" w14:textId="7EC6CA2A"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r>
        <w:rPr>
          <w:rFonts w:eastAsia="Times New Roman" w:cstheme="minorHAnsi"/>
          <w:color w:val="000000"/>
          <w:sz w:val="20"/>
          <w:szCs w:val="20"/>
          <w:lang w:eastAsia="en-GB"/>
        </w:rPr>
        <w:t>Variable remuneration</w:t>
      </w:r>
      <w:r>
        <w:rPr>
          <w:rFonts w:eastAsia="Times New Roman" w:cstheme="minorHAnsi"/>
          <w:color w:val="000000"/>
          <w:sz w:val="20"/>
          <w:szCs w:val="20"/>
          <w:lang w:eastAsia="en-GB"/>
        </w:rPr>
        <w:tab/>
      </w:r>
      <w:r>
        <w:rPr>
          <w:rFonts w:eastAsia="Times New Roman" w:cstheme="minorHAnsi"/>
          <w:color w:val="000000"/>
          <w:sz w:val="20"/>
          <w:szCs w:val="20"/>
          <w:lang w:eastAsia="en-GB"/>
        </w:rPr>
        <w:tab/>
      </w:r>
      <w:r w:rsidR="00E570F6">
        <w:rPr>
          <w:rFonts w:eastAsia="Times New Roman" w:cstheme="minorHAnsi"/>
          <w:color w:val="000000"/>
          <w:sz w:val="20"/>
          <w:szCs w:val="20"/>
          <w:lang w:eastAsia="en-GB"/>
        </w:rPr>
        <w:t>£2,194m</w:t>
      </w:r>
      <w:r>
        <w:rPr>
          <w:rFonts w:eastAsia="Times New Roman" w:cstheme="minorHAnsi"/>
          <w:color w:val="000000"/>
          <w:sz w:val="20"/>
          <w:szCs w:val="20"/>
          <w:lang w:eastAsia="en-GB"/>
        </w:rPr>
        <w:t xml:space="preserve"> </w:t>
      </w:r>
    </w:p>
    <w:p w14:paraId="2D8A9856" w14:textId="77777777" w:rsidR="00060804" w:rsidRDefault="00060804" w:rsidP="00060804">
      <w:pPr>
        <w:widowControl w:val="0"/>
        <w:tabs>
          <w:tab w:val="left" w:pos="1132"/>
        </w:tabs>
        <w:autoSpaceDE w:val="0"/>
        <w:autoSpaceDN w:val="0"/>
        <w:adjustRightInd w:val="0"/>
        <w:spacing w:after="0" w:line="240" w:lineRule="auto"/>
        <w:ind w:left="1132" w:right="1132"/>
        <w:jc w:val="both"/>
        <w:rPr>
          <w:rFonts w:eastAsia="Times New Roman" w:cstheme="minorHAnsi"/>
          <w:color w:val="000000"/>
          <w:sz w:val="20"/>
          <w:szCs w:val="20"/>
          <w:lang w:eastAsia="en-GB"/>
        </w:rPr>
      </w:pPr>
    </w:p>
    <w:p w14:paraId="3FDD4B2F" w14:textId="3AD595DF" w:rsidR="00060804" w:rsidRPr="00D65824" w:rsidRDefault="00060804" w:rsidP="00E570F6">
      <w:pPr>
        <w:widowControl w:val="0"/>
        <w:tabs>
          <w:tab w:val="left" w:pos="1132"/>
        </w:tabs>
        <w:autoSpaceDE w:val="0"/>
        <w:autoSpaceDN w:val="0"/>
        <w:adjustRightInd w:val="0"/>
        <w:spacing w:after="0" w:line="240" w:lineRule="auto"/>
        <w:ind w:left="1132" w:right="1132"/>
        <w:jc w:val="both"/>
        <w:rPr>
          <w:rFonts w:cstheme="minorHAnsi"/>
        </w:rPr>
      </w:pPr>
      <w:r>
        <w:rPr>
          <w:rFonts w:eastAsia="Times New Roman" w:cstheme="minorHAnsi"/>
          <w:color w:val="000000"/>
          <w:sz w:val="20"/>
          <w:szCs w:val="20"/>
          <w:lang w:eastAsia="en-GB"/>
        </w:rPr>
        <w:t>Total remuneration</w:t>
      </w:r>
      <w:r>
        <w:rPr>
          <w:rFonts w:eastAsia="Times New Roman" w:cstheme="minorHAnsi"/>
          <w:color w:val="000000"/>
          <w:sz w:val="20"/>
          <w:szCs w:val="20"/>
          <w:lang w:eastAsia="en-GB"/>
        </w:rPr>
        <w:tab/>
      </w:r>
      <w:r>
        <w:rPr>
          <w:rFonts w:eastAsia="Times New Roman" w:cstheme="minorHAnsi"/>
          <w:color w:val="000000"/>
          <w:sz w:val="20"/>
          <w:szCs w:val="20"/>
          <w:lang w:eastAsia="en-GB"/>
        </w:rPr>
        <w:tab/>
      </w:r>
      <w:r>
        <w:rPr>
          <w:rFonts w:eastAsia="Times New Roman" w:cstheme="minorHAnsi"/>
          <w:color w:val="000000"/>
          <w:sz w:val="20"/>
          <w:szCs w:val="20"/>
          <w:lang w:eastAsia="en-GB"/>
        </w:rPr>
        <w:tab/>
      </w:r>
      <w:r w:rsidR="00E570F6">
        <w:rPr>
          <w:rFonts w:eastAsia="Times New Roman" w:cstheme="minorHAnsi"/>
          <w:color w:val="000000"/>
          <w:sz w:val="20"/>
          <w:szCs w:val="20"/>
          <w:lang w:eastAsia="en-GB"/>
        </w:rPr>
        <w:t>£3,265m</w:t>
      </w:r>
      <w:r>
        <w:rPr>
          <w:rFonts w:cstheme="minorHAnsi"/>
        </w:rPr>
        <w:tab/>
      </w:r>
    </w:p>
    <w:sectPr w:rsidR="00060804" w:rsidRPr="00D65824" w:rsidSect="00364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4"/>
    <w:rsid w:val="00057089"/>
    <w:rsid w:val="00060804"/>
    <w:rsid w:val="001775EE"/>
    <w:rsid w:val="0019774C"/>
    <w:rsid w:val="003642BE"/>
    <w:rsid w:val="005052F4"/>
    <w:rsid w:val="009C1931"/>
    <w:rsid w:val="00B71078"/>
    <w:rsid w:val="00D63F75"/>
    <w:rsid w:val="00E570F6"/>
    <w:rsid w:val="00ED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B1F9"/>
  <w15:chartTrackingRefBased/>
  <w15:docId w15:val="{529DDB84-DE57-4154-8DF3-8E233AC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060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Holman | Waystone</dc:creator>
  <cp:keywords/>
  <dc:description/>
  <cp:lastModifiedBy>Matthew Warhaftig</cp:lastModifiedBy>
  <cp:revision>4</cp:revision>
  <cp:lastPrinted>2024-01-26T10:30:00Z</cp:lastPrinted>
  <dcterms:created xsi:type="dcterms:W3CDTF">2024-01-04T16:45:00Z</dcterms:created>
  <dcterms:modified xsi:type="dcterms:W3CDTF">2024-01-26T10:30:00Z</dcterms:modified>
</cp:coreProperties>
</file>